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63" w:rsidRPr="00616C63" w:rsidRDefault="00616C63" w:rsidP="00616C6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16C63">
        <w:rPr>
          <w:rFonts w:ascii="Tahoma" w:hAnsi="Tahoma" w:cs="Tahoma"/>
          <w:b/>
          <w:sz w:val="22"/>
          <w:szCs w:val="22"/>
        </w:rPr>
        <w:t>FRANCISCO MARTÍNEZ NERI</w:t>
      </w:r>
      <w:r w:rsidRPr="00616C63">
        <w:rPr>
          <w:rFonts w:ascii="Tahoma" w:hAnsi="Tahoma" w:cs="Tahoma"/>
          <w:sz w:val="22"/>
          <w:szCs w:val="22"/>
        </w:rPr>
        <w:t xml:space="preserve">, Presidente Municipal Constitucional del Honorable Ayuntamiento de Oaxaca de Juárez, Oaxaca, a sus habitantes hace </w:t>
      </w:r>
      <w:r w:rsidRPr="00616C63">
        <w:rPr>
          <w:rFonts w:ascii="Tahoma" w:hAnsi="Tahoma" w:cs="Tahoma"/>
          <w:sz w:val="22"/>
          <w:szCs w:val="22"/>
        </w:rPr>
        <w:t>saber: Qué</w:t>
      </w:r>
      <w:r w:rsidRPr="00616C63">
        <w:rPr>
          <w:rFonts w:ascii="Tahoma" w:hAnsi="Tahoma" w:cs="Tahoma"/>
          <w:sz w:val="22"/>
          <w:szCs w:val="22"/>
        </w:rPr>
        <w:t xml:space="preserve"> el Honorable Ayuntamiento del Municipio de Oaxaca de Juárez, Oaxaca en uso de sus atribuciones y facultades y con fundamento en lo dispuesto por el artículo 115 fracción II de la Constitución Política de los Estados Unidos Mexicanos; artículo 113 fracción I de la Constitución Política del Estado Libre y Soberano de Oaxaca; 138 de la Ley Orgánica Municipal; 49 fracción I del Bando de Policía y Gobierno del Municipio de Oaxaca de Juárez; en Sesión Extraordinaria</w:t>
      </w:r>
      <w:bookmarkStart w:id="0" w:name="_GoBack"/>
      <w:bookmarkEnd w:id="0"/>
      <w:r w:rsidRPr="00616C63">
        <w:rPr>
          <w:rFonts w:ascii="Tahoma" w:hAnsi="Tahoma" w:cs="Tahoma"/>
          <w:sz w:val="22"/>
          <w:szCs w:val="22"/>
        </w:rPr>
        <w:t xml:space="preserve"> de Cabildo de fecha </w:t>
      </w:r>
      <w:r w:rsidR="00A64B60">
        <w:rPr>
          <w:rFonts w:ascii="Tahoma" w:hAnsi="Tahoma" w:cs="Tahoma"/>
          <w:sz w:val="22"/>
          <w:szCs w:val="22"/>
        </w:rPr>
        <w:t>veintiocho de marzo</w:t>
      </w:r>
      <w:r w:rsidRPr="00616C63">
        <w:rPr>
          <w:rFonts w:ascii="Tahoma" w:hAnsi="Tahoma" w:cs="Tahoma"/>
          <w:sz w:val="22"/>
          <w:szCs w:val="22"/>
        </w:rPr>
        <w:t xml:space="preserve"> del año dos mil veintidós tuvo a bien</w:t>
      </w:r>
      <w:r w:rsidRPr="00616C63">
        <w:rPr>
          <w:rFonts w:ascii="Tahoma" w:hAnsi="Tahoma" w:cs="Tahoma"/>
          <w:sz w:val="22"/>
          <w:szCs w:val="22"/>
        </w:rPr>
        <w:t xml:space="preserve"> aprobar y expedir el Reglamento Interno del Consejo Municipal para la Prevención, Atención, Sanción y Erradicación de la Violencia de Genero Contra las Mujeres en el Municipio de Oaxaca de Juárez. </w:t>
      </w:r>
    </w:p>
    <w:p w:rsidR="00616C63" w:rsidRPr="00616C63" w:rsidRDefault="00616C63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616C63" w:rsidRPr="00616C63" w:rsidRDefault="00616C63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616C63" w:rsidRPr="00616C63" w:rsidRDefault="00616C63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616C63" w:rsidRPr="00616C63" w:rsidRDefault="00616C63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0C315D" w:rsidRPr="00616C63" w:rsidRDefault="000C315D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REGLAMENTO INTERNO DEL CONSEJO MUNICIPAL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PARA LA PREVENCIÓN, ATENCIÓN, SANCIÓN Y ERRADICACIÓN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C7385F" w:rsidRPr="00616C63" w:rsidRDefault="000C315D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DE LA VIOLENCIA DE GENERO CONTRAS</w:t>
      </w:r>
      <w:r w:rsidR="00616C63" w:rsidRPr="00616C63">
        <w:rPr>
          <w:rFonts w:ascii="Tahoma" w:eastAsia="Arial" w:hAnsi="Tahoma" w:cs="Tahoma"/>
          <w:b/>
          <w:sz w:val="22"/>
          <w:szCs w:val="22"/>
        </w:rPr>
        <w:t>(sic)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LAS MUJERES 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EN EL MUNICIPIO DE OAXACA JUÁREZ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0C315D" w:rsidRPr="00616C63" w:rsidRDefault="000C315D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TÍTULO PRIMERO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DE LAS GENERALIDADES DEL REGLAMENTO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sz w:val="22"/>
          <w:szCs w:val="22"/>
        </w:rPr>
      </w:pPr>
    </w:p>
    <w:p w:rsidR="00E97A46" w:rsidRPr="00616C63" w:rsidRDefault="000C315D" w:rsidP="007E6275">
      <w:pPr>
        <w:jc w:val="center"/>
        <w:rPr>
          <w:rFonts w:ascii="Tahoma" w:eastAsia="Arial" w:hAnsi="Tahoma" w:cs="Tahoma"/>
          <w:b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 xml:space="preserve">CAPÍTULO ÚNICO 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DISPOSICIONES GENERALES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E97A46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El presente Reglamento tiene por objeto normar la integración, organización y funcionamiento del Consejo Municipal para la Prevención, Atención, Sanción y Erradicación de la Violencia de Género contra las Mujeres en el Municipio de Oaxaca de Juárez, para garantizar su derecho a una vida libre de violencia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E97A46" w:rsidRPr="00616C63" w:rsidRDefault="00E97A46" w:rsidP="007E6275">
      <w:pPr>
        <w:jc w:val="both"/>
        <w:rPr>
          <w:rFonts w:ascii="Tahoma" w:eastAsia="Arial" w:hAnsi="Tahoma" w:cs="Tahoma"/>
          <w:b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2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Para los efectos del presente Reglamento, se entenderá por: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pStyle w:val="Prrafodelista"/>
        <w:numPr>
          <w:ilvl w:val="0"/>
          <w:numId w:val="2"/>
        </w:numPr>
        <w:ind w:hanging="29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 xml:space="preserve">Consejo: </w:t>
      </w:r>
      <w:r w:rsidRPr="00616C63">
        <w:rPr>
          <w:rFonts w:ascii="Tahoma" w:eastAsia="Arial" w:hAnsi="Tahoma" w:cs="Tahoma"/>
          <w:sz w:val="22"/>
          <w:szCs w:val="22"/>
        </w:rPr>
        <w:t>Consejo Municipal para la Prevención, Atención, Sanción y Erradicación de la Violencia de Género contra las Mujeres en el Municipio de Oaxaca de Juárez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pStyle w:val="Prrafodelista"/>
        <w:numPr>
          <w:ilvl w:val="0"/>
          <w:numId w:val="2"/>
        </w:numPr>
        <w:ind w:hanging="29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 xml:space="preserve">Ley: </w:t>
      </w:r>
      <w:r w:rsidRPr="00616C63">
        <w:rPr>
          <w:rFonts w:ascii="Tahoma" w:eastAsia="Arial" w:hAnsi="Tahoma" w:cs="Tahoma"/>
          <w:sz w:val="22"/>
          <w:szCs w:val="22"/>
        </w:rPr>
        <w:t>Ley Estatal de Acceso de las Mujeres a una Vida Libre de Violencia de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Género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pStyle w:val="Prrafodelista"/>
        <w:numPr>
          <w:ilvl w:val="0"/>
          <w:numId w:val="2"/>
        </w:numPr>
        <w:ind w:hanging="29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 xml:space="preserve">Ley General: </w:t>
      </w:r>
      <w:r w:rsidRPr="00616C63">
        <w:rPr>
          <w:rFonts w:ascii="Tahoma" w:eastAsia="Arial" w:hAnsi="Tahoma" w:cs="Tahoma"/>
          <w:sz w:val="22"/>
          <w:szCs w:val="22"/>
        </w:rPr>
        <w:t>Ley General de Acceso de las Mujeres a una Vida Libre de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Violencia;</w:t>
      </w:r>
    </w:p>
    <w:p w:rsidR="000C315D" w:rsidRPr="00616C63" w:rsidRDefault="000C315D" w:rsidP="007E6275">
      <w:pPr>
        <w:pStyle w:val="Prrafodelista"/>
        <w:numPr>
          <w:ilvl w:val="0"/>
          <w:numId w:val="2"/>
        </w:numPr>
        <w:ind w:hanging="29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 xml:space="preserve">Programa Integral: </w:t>
      </w:r>
      <w:r w:rsidRPr="00616C63">
        <w:rPr>
          <w:rFonts w:ascii="Tahoma" w:eastAsia="Arial" w:hAnsi="Tahoma" w:cs="Tahoma"/>
          <w:sz w:val="22"/>
          <w:szCs w:val="22"/>
        </w:rPr>
        <w:t>Programa Integral para Prevenir, Atender, Sancionar y Erradicar la Violencia de Género contra las Mujeres en el Municipio de Oaxaca de Juárez;</w:t>
      </w:r>
    </w:p>
    <w:p w:rsidR="000C315D" w:rsidRPr="00616C63" w:rsidRDefault="000C315D" w:rsidP="007E6275">
      <w:pPr>
        <w:pStyle w:val="Prrafodelista"/>
        <w:numPr>
          <w:ilvl w:val="0"/>
          <w:numId w:val="2"/>
        </w:numPr>
        <w:ind w:hanging="29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lastRenderedPageBreak/>
        <w:t xml:space="preserve">Reglamento: </w:t>
      </w:r>
      <w:r w:rsidRPr="00616C63">
        <w:rPr>
          <w:rFonts w:ascii="Tahoma" w:eastAsia="Arial" w:hAnsi="Tahoma" w:cs="Tahoma"/>
          <w:sz w:val="22"/>
          <w:szCs w:val="22"/>
        </w:rPr>
        <w:t xml:space="preserve">Al Reglamento Interno del Consejo Municipal para la Prevención, Atención, Sanción y Erradicación de la Violencia de Género contra las Mujeres en el Municipio de Oaxaca de </w:t>
      </w:r>
      <w:proofErr w:type="gramStart"/>
      <w:r w:rsidRPr="00616C63">
        <w:rPr>
          <w:rFonts w:ascii="Tahoma" w:eastAsia="Arial" w:hAnsi="Tahoma" w:cs="Tahoma"/>
          <w:sz w:val="22"/>
          <w:szCs w:val="22"/>
        </w:rPr>
        <w:t>Juárez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  <w:r w:rsidR="008A0170" w:rsidRPr="00616C63">
        <w:rPr>
          <w:rFonts w:ascii="Tahoma" w:eastAsia="Arial" w:hAnsi="Tahoma" w:cs="Tahoma"/>
          <w:sz w:val="22"/>
          <w:szCs w:val="22"/>
        </w:rPr>
        <w:t>(</w:t>
      </w:r>
      <w:proofErr w:type="gramEnd"/>
      <w:r w:rsidR="008A0170" w:rsidRPr="00616C63">
        <w:rPr>
          <w:rFonts w:ascii="Tahoma" w:eastAsia="Arial" w:hAnsi="Tahoma" w:cs="Tahoma"/>
          <w:sz w:val="22"/>
          <w:szCs w:val="22"/>
        </w:rPr>
        <w:t>sic)</w:t>
      </w:r>
    </w:p>
    <w:p w:rsidR="000C315D" w:rsidRPr="00616C63" w:rsidRDefault="000C315D" w:rsidP="007E6275">
      <w:pPr>
        <w:pStyle w:val="Prrafodelista"/>
        <w:numPr>
          <w:ilvl w:val="0"/>
          <w:numId w:val="2"/>
        </w:numPr>
        <w:ind w:hanging="29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 xml:space="preserve">Comisiones: </w:t>
      </w:r>
      <w:r w:rsidRPr="00616C63">
        <w:rPr>
          <w:rFonts w:ascii="Tahoma" w:eastAsia="Arial" w:hAnsi="Tahoma" w:cs="Tahoma"/>
          <w:sz w:val="22"/>
          <w:szCs w:val="22"/>
        </w:rPr>
        <w:t>Aquellas establecidas por cada uno de los ejes de acción,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implementados a través de los modelos que atienden cada uno de los tipos y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modalidades de la violencia de género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E97A46" w:rsidRPr="00616C63" w:rsidRDefault="00E97A46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E97A46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</w:t>
      </w:r>
      <w:r w:rsidR="000C315D" w:rsidRPr="00616C63">
        <w:rPr>
          <w:rFonts w:ascii="Tahoma" w:eastAsia="Arial" w:hAnsi="Tahoma" w:cs="Tahoma"/>
          <w:b/>
          <w:sz w:val="22"/>
          <w:szCs w:val="22"/>
        </w:rPr>
        <w:t>culo 3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="000C315D" w:rsidRPr="00616C63">
        <w:rPr>
          <w:rFonts w:ascii="Tahoma" w:eastAsia="Arial" w:hAnsi="Tahoma" w:cs="Tahoma"/>
          <w:sz w:val="22"/>
          <w:szCs w:val="22"/>
        </w:rPr>
        <w:t xml:space="preserve"> El Consejo, es un órgano colegiado cuyo objetivo es auxiliar a las</w:t>
      </w:r>
      <w:r w:rsidRPr="00616C63">
        <w:rPr>
          <w:rFonts w:ascii="Tahoma" w:eastAsia="Arial" w:hAnsi="Tahoma" w:cs="Tahoma"/>
          <w:sz w:val="22"/>
          <w:szCs w:val="22"/>
        </w:rPr>
        <w:t xml:space="preserve"> instancias</w:t>
      </w:r>
      <w:r w:rsidR="000C315D" w:rsidRPr="00616C63">
        <w:rPr>
          <w:rFonts w:ascii="Tahoma" w:eastAsia="Arial" w:hAnsi="Tahoma" w:cs="Tahoma"/>
          <w:sz w:val="22"/>
          <w:szCs w:val="22"/>
        </w:rPr>
        <w:t xml:space="preserve"> correspondientes del Gobierno Municipal, en las acciones de prevención, atención, sanción y erradicación de la violencia de género contra las mujeres, así como de protección y asistencia de las víctimas de violencia de género contra las mujeres en el Municipio de Oaxaca de Juárez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E97A46" w:rsidRPr="00616C63" w:rsidRDefault="00E97A46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4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Las disposiciones de este Reglamento, se basan en los rectores de los derechos de las mujeres, consagrados en los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Tratados I</w:t>
      </w:r>
      <w:r w:rsidRPr="00616C63">
        <w:rPr>
          <w:rFonts w:ascii="Tahoma" w:eastAsia="Arial" w:hAnsi="Tahoma" w:cs="Tahoma"/>
          <w:sz w:val="22"/>
          <w:szCs w:val="22"/>
        </w:rPr>
        <w:t>nternacionales suscritos y ratificados por el Estado Mexicano; Constitución Política de los Estados Unidos Mexicanos; Ley General de Acceso de las Mujeres a una Vida Libre de Violencia; Constitución Política del Estado Libre y Soberano de Oaxaca; Ley Estatal de Acceso de las Mujeres a una Vida Libre de Violencia de Género y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Reglamento de la Ley Estatal de Acceso de las Mujeres a una Vida Libre de Violencia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de Género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center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 xml:space="preserve">CAPÍTULO </w:t>
      </w:r>
      <w:r w:rsidR="00E97A46" w:rsidRPr="00616C63">
        <w:rPr>
          <w:rFonts w:ascii="Tahoma" w:eastAsia="Arial" w:hAnsi="Tahoma" w:cs="Tahoma"/>
          <w:b/>
          <w:sz w:val="22"/>
          <w:szCs w:val="22"/>
        </w:rPr>
        <w:t>II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INTEGRACIÓN Y ORGANIZACIÓN DEL CONSEJO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5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 xml:space="preserve">En términos de lo dispuesto por el artículo 47 de la Ley Estatal de 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Acceso </w:t>
      </w:r>
      <w:r w:rsidRPr="00616C63">
        <w:rPr>
          <w:rFonts w:ascii="Tahoma" w:eastAsia="Arial" w:hAnsi="Tahoma" w:cs="Tahoma"/>
          <w:sz w:val="22"/>
          <w:szCs w:val="22"/>
        </w:rPr>
        <w:t>de las Mujeres a una Vida Libre de Violencia de Género, se constituye el Consejo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Municipal para la Prevención, Atención, Sanción y Erradicación de la Viole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ncia de </w:t>
      </w:r>
      <w:r w:rsidRPr="00616C63">
        <w:rPr>
          <w:rFonts w:ascii="Tahoma" w:eastAsia="Arial" w:hAnsi="Tahoma" w:cs="Tahoma"/>
          <w:sz w:val="22"/>
          <w:szCs w:val="22"/>
        </w:rPr>
        <w:t xml:space="preserve">Género contra las Mujeres en el Municipio de Oaxaca de Juárez, el cual 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estará </w:t>
      </w:r>
      <w:r w:rsidRPr="00616C63">
        <w:rPr>
          <w:rFonts w:ascii="Tahoma" w:eastAsia="Arial" w:hAnsi="Tahoma" w:cs="Tahoma"/>
          <w:sz w:val="22"/>
          <w:szCs w:val="22"/>
        </w:rPr>
        <w:t>integrado por:</w:t>
      </w:r>
    </w:p>
    <w:p w:rsidR="00E97A46" w:rsidRPr="00616C63" w:rsidRDefault="00E97A46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Titular de la Presidencia Municipal, quien lo presidirá, o la persona q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ue </w:t>
      </w:r>
      <w:r w:rsidRPr="00616C63">
        <w:rPr>
          <w:rFonts w:ascii="Tahoma" w:eastAsia="Arial" w:hAnsi="Tahoma" w:cs="Tahoma"/>
          <w:sz w:val="22"/>
          <w:szCs w:val="22"/>
        </w:rPr>
        <w:t>designe, atendiendo a la naturaleza y atribuciones del Consejo;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Titular del Instituto Municipal de la Mujer, quien estará a cargo de la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Secretaría </w:t>
      </w:r>
      <w:r w:rsidRPr="00616C63">
        <w:rPr>
          <w:rFonts w:ascii="Tahoma" w:eastAsia="Arial" w:hAnsi="Tahoma" w:cs="Tahoma"/>
          <w:sz w:val="22"/>
          <w:szCs w:val="22"/>
        </w:rPr>
        <w:t>Ejecutiva;</w:t>
      </w: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Integrantes de la Comisión de Igualdad de Género;</w:t>
      </w: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Presidencia de la Comisión de Bienestar;</w:t>
      </w: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Presidencia de la Comisión de Seguridad Ciudadana y Movilidad;</w:t>
      </w: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 xml:space="preserve">Titular de la Tesorería Municipal; </w:t>
      </w: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Titular de la Alcaldía Municipal;</w:t>
      </w: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Titular de la Secretaría de Seguridad Ciudadana, Movilidad y Protección Civil;</w:t>
      </w: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Titular de la Secretaría de Bienestar Municipal;</w:t>
      </w:r>
    </w:p>
    <w:p w:rsidR="00E97A46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Titular de la Dirección del Sistema Municipal para el Desarrollo Integral de la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Familia;</w:t>
      </w:r>
      <w:r w:rsidR="008A0170" w:rsidRPr="00616C63">
        <w:rPr>
          <w:rFonts w:ascii="Tahoma" w:eastAsia="Arial" w:hAnsi="Tahoma" w:cs="Tahoma"/>
          <w:sz w:val="22"/>
          <w:szCs w:val="22"/>
        </w:rPr>
        <w:t>(sic)</w:t>
      </w:r>
    </w:p>
    <w:p w:rsidR="000C315D" w:rsidRPr="00616C63" w:rsidRDefault="000C315D" w:rsidP="007E6275">
      <w:pPr>
        <w:pStyle w:val="Prrafodelista"/>
        <w:numPr>
          <w:ilvl w:val="0"/>
          <w:numId w:val="4"/>
        </w:numPr>
        <w:ind w:left="709" w:hanging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lastRenderedPageBreak/>
        <w:t>Cuatro personas representantes de la Sociedad Civil, quienes serán seleccionadas, a través de una convocatoria pública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6F19BF" w:rsidRPr="00616C63" w:rsidRDefault="006F19BF" w:rsidP="007E6275">
      <w:pPr>
        <w:pStyle w:val="Prrafodelista"/>
        <w:ind w:left="709"/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Para la instalación del Consejo, se convocarán por conducto de la Presidencia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Municipal, a través de la Secretaría Ejecutiva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6F19BF" w:rsidRPr="00616C63" w:rsidRDefault="006F19BF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Los cargos del Consejo serán honoríficos, por lo que no recibirán emolumento o contraprestación económica alguna por su desempeño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  <w:r w:rsidRPr="00616C63">
        <w:rPr>
          <w:rFonts w:ascii="Tahoma" w:eastAsia="Arial" w:hAnsi="Tahoma" w:cs="Tahoma"/>
          <w:sz w:val="22"/>
          <w:szCs w:val="22"/>
        </w:rPr>
        <w:t xml:space="preserve"> Sus integrantes participarán con voz y voto, a excepción de los Representantes de la Sociedad Civil, quienes sólo tendrán voz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6F19BF" w:rsidRPr="00616C63" w:rsidRDefault="006F19BF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Las y los titulares podrán nombrar a su suplente, quien tendrá la misma facultad que le otorga el presente Reglamento al titular, cuyo nombramiento deberá recaer necesariamente en Servidoras o Servidores Públicos, adscritos a las Dependencias respectivas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  <w:r w:rsidRPr="00616C63">
        <w:rPr>
          <w:rFonts w:ascii="Tahoma" w:eastAsia="Arial" w:hAnsi="Tahoma" w:cs="Tahoma"/>
          <w:sz w:val="22"/>
          <w:szCs w:val="22"/>
        </w:rPr>
        <w:t xml:space="preserve"> La designación de suplentes, deberá hacerse por escrito a la Secretaría Ejecutiva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6F19BF" w:rsidRPr="00616C63" w:rsidRDefault="006F19BF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6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Las decisiones del Consejo serán adoptadas de forma colegiada, sin que exista preeminencia entre sus integrantes; teniendo la Presidencia voto de calidad, en caso de empate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6F19BF" w:rsidRPr="00616C63" w:rsidRDefault="006F19BF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7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Quienes integran el Consejo permanecerán en su cargo, durante el</w:t>
      </w:r>
      <w:r w:rsidR="00E97A46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periodo de la Administración Municipal que les haya tomado protesta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6F19BF" w:rsidRPr="00616C63" w:rsidRDefault="006F19BF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8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Para el proceso de selección de los integrantes de la Sociedad Civil, el Municipio de Oaxaca de Juárez, emitirá convocatoria a través del Instituto Municipal de la Mujer, que será difundida por medio de la Coordinación de Comunicación Social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6F19BF" w:rsidRPr="00616C63" w:rsidRDefault="006F19BF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9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Las y los Representantes de la Sociedad Civil, deberán tener resi</w:t>
      </w:r>
      <w:r w:rsidR="00B93F0D" w:rsidRPr="00616C63">
        <w:rPr>
          <w:rFonts w:ascii="Tahoma" w:eastAsia="Arial" w:hAnsi="Tahoma" w:cs="Tahoma"/>
          <w:sz w:val="22"/>
          <w:szCs w:val="22"/>
        </w:rPr>
        <w:t>dencia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 en el </w:t>
      </w:r>
      <w:r w:rsidRPr="00616C63">
        <w:rPr>
          <w:rFonts w:ascii="Tahoma" w:eastAsia="Arial" w:hAnsi="Tahoma" w:cs="Tahoma"/>
          <w:sz w:val="22"/>
          <w:szCs w:val="22"/>
        </w:rPr>
        <w:t>Municipio de Oaxaca de Juárez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6F19BF" w:rsidRPr="00616C63" w:rsidRDefault="006F19BF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Tratándose de Representantes de Organiza</w:t>
      </w:r>
      <w:r w:rsidR="003155EC" w:rsidRPr="00616C63">
        <w:rPr>
          <w:rFonts w:ascii="Tahoma" w:eastAsia="Arial" w:hAnsi="Tahoma" w:cs="Tahoma"/>
          <w:sz w:val="22"/>
          <w:szCs w:val="22"/>
        </w:rPr>
        <w:t>ciones, deberán cumplir con los sigu</w:t>
      </w:r>
      <w:r w:rsidRPr="00616C63">
        <w:rPr>
          <w:rFonts w:ascii="Tahoma" w:eastAsia="Arial" w:hAnsi="Tahoma" w:cs="Tahoma"/>
          <w:sz w:val="22"/>
          <w:szCs w:val="22"/>
        </w:rPr>
        <w:t xml:space="preserve">ientes requisitos: </w:t>
      </w:r>
    </w:p>
    <w:p w:rsidR="006F19BF" w:rsidRPr="00616C63" w:rsidRDefault="006F19BF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ind w:left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1</w:t>
      </w:r>
      <w:r w:rsidR="00C500BA" w:rsidRPr="00616C63">
        <w:rPr>
          <w:rFonts w:ascii="Tahoma" w:eastAsia="Arial" w:hAnsi="Tahoma" w:cs="Tahoma"/>
          <w:sz w:val="22"/>
          <w:szCs w:val="22"/>
        </w:rPr>
        <w:t xml:space="preserve">. </w:t>
      </w:r>
      <w:r w:rsidRPr="00616C63">
        <w:rPr>
          <w:rFonts w:ascii="Tahoma" w:eastAsia="Arial" w:hAnsi="Tahoma" w:cs="Tahoma"/>
          <w:sz w:val="22"/>
          <w:szCs w:val="22"/>
        </w:rPr>
        <w:t>Que sean integrantes de Organizaciones legalmente constituidas;</w:t>
      </w:r>
    </w:p>
    <w:p w:rsidR="000C315D" w:rsidRPr="00616C63" w:rsidRDefault="000C315D" w:rsidP="007E6275">
      <w:pPr>
        <w:ind w:left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2</w:t>
      </w:r>
      <w:r w:rsidR="00C500BA" w:rsidRPr="00616C63">
        <w:rPr>
          <w:rFonts w:ascii="Tahoma" w:eastAsia="Arial" w:hAnsi="Tahoma" w:cs="Tahoma"/>
          <w:sz w:val="22"/>
          <w:szCs w:val="22"/>
        </w:rPr>
        <w:t xml:space="preserve">. </w:t>
      </w:r>
      <w:r w:rsidRPr="00616C63">
        <w:rPr>
          <w:rFonts w:ascii="Tahoma" w:eastAsia="Arial" w:hAnsi="Tahoma" w:cs="Tahoma"/>
          <w:sz w:val="22"/>
          <w:szCs w:val="22"/>
        </w:rPr>
        <w:t>Que el objetivo de dicha organización sea la defensa, prevención y de los derechos de las mujeres;</w:t>
      </w:r>
    </w:p>
    <w:p w:rsidR="000C315D" w:rsidRPr="00616C63" w:rsidRDefault="000C315D" w:rsidP="007E6275">
      <w:pPr>
        <w:ind w:left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3</w:t>
      </w:r>
      <w:r w:rsidR="00C500BA" w:rsidRPr="00616C63">
        <w:rPr>
          <w:rFonts w:ascii="Tahoma" w:eastAsia="Arial" w:hAnsi="Tahoma" w:cs="Tahoma"/>
          <w:sz w:val="22"/>
          <w:szCs w:val="22"/>
        </w:rPr>
        <w:t xml:space="preserve">. </w:t>
      </w:r>
      <w:r w:rsidRPr="00616C63">
        <w:rPr>
          <w:rFonts w:ascii="Tahoma" w:eastAsia="Arial" w:hAnsi="Tahoma" w:cs="Tahoma"/>
          <w:sz w:val="22"/>
          <w:szCs w:val="22"/>
        </w:rPr>
        <w:t>Que las Organizaciones a las que pertenezcan, no tengan fines de lucro; y</w:t>
      </w:r>
    </w:p>
    <w:p w:rsidR="000C315D" w:rsidRPr="00616C63" w:rsidRDefault="000C315D" w:rsidP="007E6275">
      <w:pPr>
        <w:ind w:left="284"/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4</w:t>
      </w:r>
      <w:r w:rsidR="00C500BA" w:rsidRPr="00616C63">
        <w:rPr>
          <w:rFonts w:ascii="Tahoma" w:eastAsia="Arial" w:hAnsi="Tahoma" w:cs="Tahoma"/>
          <w:sz w:val="22"/>
          <w:szCs w:val="22"/>
        </w:rPr>
        <w:t xml:space="preserve">. </w:t>
      </w:r>
      <w:r w:rsidRPr="00616C63">
        <w:rPr>
          <w:rFonts w:ascii="Tahoma" w:eastAsia="Arial" w:hAnsi="Tahoma" w:cs="Tahoma"/>
          <w:sz w:val="22"/>
          <w:szCs w:val="22"/>
        </w:rPr>
        <w:t>Los demás que se establezcan en las bases de la convocatoria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b/>
          <w:sz w:val="22"/>
          <w:szCs w:val="22"/>
        </w:rPr>
      </w:pPr>
    </w:p>
    <w:p w:rsidR="000C315D" w:rsidRPr="00616C63" w:rsidRDefault="003155EC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10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="000C315D"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="000C315D" w:rsidRPr="00616C63">
        <w:rPr>
          <w:rFonts w:ascii="Tahoma" w:eastAsia="Arial" w:hAnsi="Tahoma" w:cs="Tahoma"/>
          <w:sz w:val="22"/>
          <w:szCs w:val="22"/>
        </w:rPr>
        <w:t>El Consejo podrá acordar la asistencia a sus sesiones, en calidad de invitadas o invitados, a Representantes de Instituciones Públicas y Privadas, de la Academia y de la Sociedad Civil en general, cuando se trate de temas específicos, quienes podrán participar con derecho a voz, pero sin voto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b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lastRenderedPageBreak/>
        <w:t>Artículo 11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En caso de que alguna de las personas invitadas requiera accesibilidad, intérprete o traductor de su lengua originaria, el Consejo proveerá oportunamente lo conducente, a efecto de que cuente con los apoyos necesarios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para su intervención</w:t>
      </w:r>
      <w:r w:rsidR="00C75F3B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3155EC" w:rsidP="007E6275">
      <w:pPr>
        <w:jc w:val="center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CAPÍTULO III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DE LAS ATRIBUCIONES DEL CONSEJO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12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El Consejo tendrá las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 siguientes atribuciones: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Vigilar el cumplimiento del marc</w:t>
      </w:r>
      <w:r w:rsidR="003155EC" w:rsidRPr="00616C63">
        <w:rPr>
          <w:rFonts w:ascii="Tahoma" w:eastAsia="Arial" w:hAnsi="Tahoma" w:cs="Tahoma"/>
          <w:sz w:val="22"/>
          <w:szCs w:val="22"/>
        </w:rPr>
        <w:t>o jurídico en la materia;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Implementar acciones para que los sectores público, social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 y privad</w:t>
      </w:r>
      <w:r w:rsidRPr="00616C63">
        <w:rPr>
          <w:rFonts w:ascii="Tahoma" w:eastAsia="Arial" w:hAnsi="Tahoma" w:cs="Tahoma"/>
          <w:sz w:val="22"/>
          <w:szCs w:val="22"/>
        </w:rPr>
        <w:t>o, participen en la definición e instrumentación de políticas públicas, destinadas a garantizar los derechos humanos de las mujeres y su protección integral contra la violencia de género;</w:t>
      </w:r>
    </w:p>
    <w:p w:rsidR="003155EC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Impulsar una cultura de respeto, protección y promoción de los derechos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 xml:space="preserve">humanos de las mujeres y su acceso a una vida libre de violencia de género; 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Orientar y promover entre la comunidad, políticas y acciones de prevención, atención, sanción y erradicación de la violencia de género contra las mujeres;</w:t>
      </w:r>
    </w:p>
    <w:p w:rsidR="003155EC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Aprobar el Programa Integral para Prevenir, Atender, Sancionar y Erradicar la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 xml:space="preserve">Violencia de Género contra las Mujeres en el Municipio de Oaxaca de Juárez; 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Proponer reformas a la normatividad Munici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pal, que tengan como propósito </w:t>
      </w:r>
      <w:r w:rsidRPr="00616C63">
        <w:rPr>
          <w:rFonts w:ascii="Tahoma" w:eastAsia="Arial" w:hAnsi="Tahoma" w:cs="Tahoma"/>
          <w:sz w:val="22"/>
          <w:szCs w:val="22"/>
        </w:rPr>
        <w:t>prevenir, atender, sancionar y erradicar la violencia de género contra las mujeres en el Municipio de Oaxaca de Juárez;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Difundir el marco jurídico Municipal, Estat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al, Nacional e Internacional en </w:t>
      </w:r>
      <w:r w:rsidRPr="00616C63">
        <w:rPr>
          <w:rFonts w:ascii="Tahoma" w:eastAsia="Arial" w:hAnsi="Tahoma" w:cs="Tahoma"/>
          <w:sz w:val="22"/>
          <w:szCs w:val="22"/>
        </w:rPr>
        <w:t>materia de protección de los derechos humanos de las mujeres y de la violencia de género contra las mujeres;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Promover la cultura de denuncia de la violencia de género contra las mujeres;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Promover la participación política de las mujeres y vigilar el respeto a sus derechos políticos electorales;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Promover estrategias para la obtención de recursos destinados al cumplimiento de los objetivos del Consejo y la implementación de acciones que apruebe el Consejo;</w:t>
      </w:r>
    </w:p>
    <w:p w:rsidR="00E17144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 xml:space="preserve">Aprobar el informe anual que rinda la Secretaría Ejecutiva del Consejo; 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Promover el derecho de las mujeres a una vida libre de violencia;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Formular y conducir con perspectiva de gé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nero la política Municipal para </w:t>
      </w:r>
      <w:r w:rsidRPr="00616C63">
        <w:rPr>
          <w:rFonts w:ascii="Tahoma" w:eastAsia="Arial" w:hAnsi="Tahoma" w:cs="Tahoma"/>
          <w:sz w:val="22"/>
          <w:szCs w:val="22"/>
        </w:rPr>
        <w:t>prevenir, atender y, en su caso, erradicar la violencia de género contra las mujeres;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Realizar las acciones necesarias para el cumplim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iento del Programa Integral </w:t>
      </w:r>
      <w:r w:rsidRPr="00616C63">
        <w:rPr>
          <w:rFonts w:ascii="Tahoma" w:eastAsia="Arial" w:hAnsi="Tahoma" w:cs="Tahoma"/>
          <w:sz w:val="22"/>
          <w:szCs w:val="22"/>
        </w:rPr>
        <w:t>para Prevenir, Atender, Sancionar y Erradicar la Violencia de Género contra las mujeres en el Municipio de Oaxaca de Juárez;</w:t>
      </w:r>
      <w:r w:rsidR="008A0170" w:rsidRPr="00616C63">
        <w:rPr>
          <w:rFonts w:ascii="Tahoma" w:eastAsia="Arial" w:hAnsi="Tahoma" w:cs="Tahoma"/>
          <w:sz w:val="22"/>
          <w:szCs w:val="22"/>
        </w:rPr>
        <w:t>(sic)</w:t>
      </w:r>
    </w:p>
    <w:p w:rsidR="000C315D" w:rsidRPr="00616C63" w:rsidRDefault="000C315D" w:rsidP="007E6275">
      <w:pPr>
        <w:pStyle w:val="Prrafodelista"/>
        <w:numPr>
          <w:ilvl w:val="0"/>
          <w:numId w:val="5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Las demás que la Ley y otros ordenamientos aplicables señalen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13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Las y los integrantes del Consejo, tendrán las atribuciones y obligaciones siguientes: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pStyle w:val="Prrafodelista"/>
        <w:numPr>
          <w:ilvl w:val="0"/>
          <w:numId w:val="6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lastRenderedPageBreak/>
        <w:t>Asistir a las Sesiones del Consejo cuando se les convoque;</w:t>
      </w:r>
    </w:p>
    <w:p w:rsidR="000C315D" w:rsidRPr="00616C63" w:rsidRDefault="000C315D" w:rsidP="007E6275">
      <w:pPr>
        <w:pStyle w:val="Prrafodelista"/>
        <w:numPr>
          <w:ilvl w:val="0"/>
          <w:numId w:val="6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Ejercer su derecho a voz y voto en las Sesiones a las que se les convoque, con las excepciones señaladas en el presente Reglamento;</w:t>
      </w:r>
    </w:p>
    <w:p w:rsidR="000C315D" w:rsidRPr="00616C63" w:rsidRDefault="000C315D" w:rsidP="007E6275">
      <w:pPr>
        <w:pStyle w:val="Prrafodelista"/>
        <w:numPr>
          <w:ilvl w:val="0"/>
          <w:numId w:val="6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Presentar al Consejo las propuestas en materia de prevención, atención,</w:t>
      </w:r>
      <w:r w:rsidR="003155EC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sanción y erradicación de la violencia de género contra las mujeres, dentro del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ámbito de competencia;</w:t>
      </w:r>
    </w:p>
    <w:p w:rsidR="000C315D" w:rsidRPr="00616C63" w:rsidRDefault="000C315D" w:rsidP="007E6275">
      <w:pPr>
        <w:pStyle w:val="Prrafodelista"/>
        <w:numPr>
          <w:ilvl w:val="0"/>
          <w:numId w:val="6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Revisar y verificar que los acuerdos que emita el Consejo, se realicen en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términos de la Ley y demás disposiciones aplicables en la materia;</w:t>
      </w:r>
    </w:p>
    <w:p w:rsidR="000C315D" w:rsidRPr="00616C63" w:rsidRDefault="000C315D" w:rsidP="007E6275">
      <w:pPr>
        <w:pStyle w:val="Prrafodelista"/>
        <w:numPr>
          <w:ilvl w:val="0"/>
          <w:numId w:val="6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 xml:space="preserve">Firmar las actas, acuerdos y demás documentos emanados del </w:t>
      </w:r>
      <w:proofErr w:type="gramStart"/>
      <w:r w:rsidRPr="00616C63">
        <w:rPr>
          <w:rFonts w:ascii="Tahoma" w:eastAsia="Arial" w:hAnsi="Tahoma" w:cs="Tahoma"/>
          <w:sz w:val="22"/>
          <w:szCs w:val="22"/>
        </w:rPr>
        <w:t>Consejo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  <w:r w:rsidR="008A0170" w:rsidRPr="00616C63">
        <w:rPr>
          <w:rFonts w:ascii="Tahoma" w:eastAsia="Arial" w:hAnsi="Tahoma" w:cs="Tahoma"/>
          <w:sz w:val="22"/>
          <w:szCs w:val="22"/>
        </w:rPr>
        <w:t>(</w:t>
      </w:r>
      <w:proofErr w:type="gramEnd"/>
      <w:r w:rsidR="008A0170" w:rsidRPr="00616C63">
        <w:rPr>
          <w:rFonts w:ascii="Tahoma" w:eastAsia="Arial" w:hAnsi="Tahoma" w:cs="Tahoma"/>
          <w:sz w:val="22"/>
          <w:szCs w:val="22"/>
        </w:rPr>
        <w:t>sic)</w:t>
      </w:r>
    </w:p>
    <w:p w:rsidR="000C315D" w:rsidRPr="00616C63" w:rsidRDefault="000C315D" w:rsidP="007E6275">
      <w:pPr>
        <w:pStyle w:val="Prrafodelista"/>
        <w:numPr>
          <w:ilvl w:val="0"/>
          <w:numId w:val="6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Coordinarse entre sí para el buen desempeño de los acuerdos emitidos por e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l </w:t>
      </w:r>
      <w:r w:rsidRPr="00616C63">
        <w:rPr>
          <w:rFonts w:ascii="Tahoma" w:eastAsia="Arial" w:hAnsi="Tahoma" w:cs="Tahoma"/>
          <w:sz w:val="22"/>
          <w:szCs w:val="22"/>
        </w:rPr>
        <w:t>Consejo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14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Son obligaciones y atribuciones de la o el Presidente del Consejo: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Representar legalmente al Consejo;</w:t>
      </w:r>
    </w:p>
    <w:p w:rsidR="005E3648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 xml:space="preserve">Presidir y conducir las Sesiones, conforme al Orden del día aprobado; </w:t>
      </w:r>
    </w:p>
    <w:p w:rsidR="000C315D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Emitir voto de calidad en caso de empate;</w:t>
      </w:r>
    </w:p>
    <w:p w:rsidR="000C315D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Instruir a la Secretaría Ejecutiva, la emisión de la convocatoria para la celebración de las Sesiones del Consejo;</w:t>
      </w:r>
    </w:p>
    <w:p w:rsidR="000C315D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Presentar para su aprobación, la propuesta del Programa Integral para Prevenir, Atender, Sancionar y Erradicar la Violencia de Género contra las Mujeres en el Municipio de Oaxaca de Juárez, incorporando las iniciativas que en la discusión surjan y acepten sus integrantes;</w:t>
      </w:r>
    </w:p>
    <w:p w:rsidR="000C315D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 xml:space="preserve">Celebrar toda clase de convenios y acuerdos 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para el adecuado cumplimiento </w:t>
      </w:r>
      <w:r w:rsidRPr="00616C63">
        <w:rPr>
          <w:rFonts w:ascii="Tahoma" w:eastAsia="Arial" w:hAnsi="Tahoma" w:cs="Tahoma"/>
          <w:sz w:val="22"/>
          <w:szCs w:val="22"/>
        </w:rPr>
        <w:t>de las atribuciones del Consejo, de conformidad con los proyectos elaborados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para el efecto por la Secretaría Ejecutiva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Vigilar por conducto de la Secretaría Ejecutiva, el cumplimiento convenios, acuerdos y demás resoluciones del Consejo;</w:t>
      </w:r>
    </w:p>
    <w:p w:rsidR="000C315D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Impulsar la formulación y actualización de acuerdos de coordinación entre las diferentes instancias de Gobierno, para lograr la atención integral de las mujeres víctimas de la violencia de género, con apego a lo establecido en sus respectivos Reglamentos Internos;</w:t>
      </w:r>
    </w:p>
    <w:p w:rsidR="000C315D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 xml:space="preserve">Emitir la </w:t>
      </w:r>
      <w:proofErr w:type="gramStart"/>
      <w:r w:rsidRPr="00616C63">
        <w:rPr>
          <w:rFonts w:ascii="Tahoma" w:eastAsia="Arial" w:hAnsi="Tahoma" w:cs="Tahoma"/>
          <w:sz w:val="22"/>
          <w:szCs w:val="22"/>
        </w:rPr>
        <w:t>convocatoria correspondientes</w:t>
      </w:r>
      <w:proofErr w:type="gramEnd"/>
      <w:r w:rsidR="00501864" w:rsidRPr="00616C63">
        <w:rPr>
          <w:rFonts w:ascii="Tahoma" w:eastAsia="Arial" w:hAnsi="Tahoma" w:cs="Tahoma"/>
          <w:sz w:val="22"/>
          <w:szCs w:val="22"/>
        </w:rPr>
        <w:t>(sic)</w:t>
      </w:r>
      <w:r w:rsidRPr="00616C63">
        <w:rPr>
          <w:rFonts w:ascii="Tahoma" w:eastAsia="Arial" w:hAnsi="Tahoma" w:cs="Tahoma"/>
          <w:sz w:val="22"/>
          <w:szCs w:val="22"/>
        </w:rPr>
        <w:t xml:space="preserve"> para l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a elección de Representantes de </w:t>
      </w:r>
      <w:r w:rsidRPr="00616C63">
        <w:rPr>
          <w:rFonts w:ascii="Tahoma" w:eastAsia="Arial" w:hAnsi="Tahoma" w:cs="Tahoma"/>
          <w:sz w:val="22"/>
          <w:szCs w:val="22"/>
        </w:rPr>
        <w:t xml:space="preserve">la Sociedad Civil, a través del Instituto Municipal de la Mujer; y </w:t>
      </w:r>
    </w:p>
    <w:p w:rsidR="000C315D" w:rsidRPr="00616C63" w:rsidRDefault="000C315D" w:rsidP="007E6275">
      <w:pPr>
        <w:pStyle w:val="Prrafodelista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Las demás previstas en este Reglamento y las que determine el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Consejo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b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15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Corresponde a la Secretaría Ejecutiva del Consejo: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Elaborar el Programa Integral para Prevenir, Atender, Sancionar y Erradicar la Violencia de Género contra las Mujeres, que deberá presentar la Presidenta o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Presidente ante el Consejo para su aprobación;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Ejecutar y dar seguimiento a los acuerdos y resoluciones;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Recabar, a través de las Instituciones Estatales y Municipales, Públicas, Sociales y Privadas, datos relativos a casos de violencia de género contra de las mujeres;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lastRenderedPageBreak/>
        <w:t>Elaborar el informe anual de actividades que deberá presenta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r la Presidenta o </w:t>
      </w:r>
      <w:r w:rsidRPr="00616C63">
        <w:rPr>
          <w:rFonts w:ascii="Tahoma" w:eastAsia="Arial" w:hAnsi="Tahoma" w:cs="Tahoma"/>
          <w:sz w:val="22"/>
          <w:szCs w:val="22"/>
        </w:rPr>
        <w:t>Presidente ante el Consejo;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Publicar y difundir el informe anual aprobado por el Consejo sobre los avances del Programa Integral para Prevenir, Atender, Sancionar y Erradicar la Violencia de Género contra las Mujeres;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Promover la firma de convenios con Institucio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nes Públicas y Privadas para el </w:t>
      </w:r>
      <w:r w:rsidRPr="00616C63">
        <w:rPr>
          <w:rFonts w:ascii="Tahoma" w:eastAsia="Arial" w:hAnsi="Tahoma" w:cs="Tahoma"/>
          <w:sz w:val="22"/>
          <w:szCs w:val="22"/>
        </w:rPr>
        <w:t>cumplimiento de la Ley y los acuerdos emanados del Consejo;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Auxiliar a la Presidenta o Presidente en todos los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trabajos relativos al Consejo; </w:t>
      </w:r>
      <w:r w:rsidRPr="00616C63">
        <w:rPr>
          <w:rFonts w:ascii="Tahoma" w:eastAsia="Arial" w:hAnsi="Tahoma" w:cs="Tahoma"/>
          <w:sz w:val="22"/>
          <w:szCs w:val="22"/>
        </w:rPr>
        <w:t>y</w:t>
      </w:r>
      <w:r w:rsidR="008A0170" w:rsidRPr="00616C63">
        <w:rPr>
          <w:rFonts w:ascii="Tahoma" w:eastAsia="Arial" w:hAnsi="Tahoma" w:cs="Tahoma"/>
          <w:sz w:val="22"/>
          <w:szCs w:val="22"/>
        </w:rPr>
        <w:t>(sic)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Emitir las convocatorias para las Sesiones del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Consejo, previo acuerdo con la </w:t>
      </w:r>
      <w:r w:rsidRPr="00616C63">
        <w:rPr>
          <w:rFonts w:ascii="Tahoma" w:eastAsia="Arial" w:hAnsi="Tahoma" w:cs="Tahoma"/>
          <w:sz w:val="22"/>
          <w:szCs w:val="22"/>
        </w:rPr>
        <w:t>Presidenta o Presidente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Auxiliar a la Presidenta o Presidente en el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desarrollo de las Sesiones del </w:t>
      </w:r>
      <w:r w:rsidRPr="00616C63">
        <w:rPr>
          <w:rFonts w:ascii="Tahoma" w:eastAsia="Arial" w:hAnsi="Tahoma" w:cs="Tahoma"/>
          <w:sz w:val="22"/>
          <w:szCs w:val="22"/>
        </w:rPr>
        <w:t>Consejo;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Elaborar el Acta de cada Sesión y recabar las firmas correspondientes;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Llevar el registro de los acuerdos del Consejo y sistematizarlos para su seguimiento y cumplimiento;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Llevar el archivo y control de los documentos del Consejo;</w:t>
      </w:r>
      <w:r w:rsidR="008A0170" w:rsidRPr="00616C63">
        <w:rPr>
          <w:rFonts w:ascii="Tahoma" w:eastAsia="Arial" w:hAnsi="Tahoma" w:cs="Tahoma"/>
          <w:sz w:val="22"/>
          <w:szCs w:val="22"/>
        </w:rPr>
        <w:t>(sic)</w:t>
      </w:r>
    </w:p>
    <w:p w:rsidR="000C315D" w:rsidRPr="00616C63" w:rsidRDefault="000C315D" w:rsidP="007E6275">
      <w:pPr>
        <w:pStyle w:val="Prrafodelista"/>
        <w:numPr>
          <w:ilvl w:val="0"/>
          <w:numId w:val="9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Las demás que le confieran el Consejo, su Presidencia y los Ordenamientos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Jurídicos aplicables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C75F3B" w:rsidRPr="00616C63" w:rsidRDefault="00C75F3B" w:rsidP="007E6275">
      <w:pPr>
        <w:pStyle w:val="Prrafodelista"/>
        <w:jc w:val="both"/>
        <w:rPr>
          <w:rFonts w:ascii="Tahoma" w:eastAsia="Arial" w:hAnsi="Tahoma" w:cs="Tahoma"/>
          <w:sz w:val="22"/>
          <w:szCs w:val="22"/>
        </w:rPr>
      </w:pPr>
    </w:p>
    <w:p w:rsidR="005E3648" w:rsidRPr="00616C63" w:rsidRDefault="005E3648" w:rsidP="007E6275">
      <w:pPr>
        <w:jc w:val="both"/>
        <w:rPr>
          <w:rFonts w:ascii="Tahoma" w:eastAsia="Arial" w:hAnsi="Tahoma" w:cs="Tahoma"/>
          <w:b/>
          <w:sz w:val="22"/>
          <w:szCs w:val="22"/>
        </w:rPr>
      </w:pPr>
    </w:p>
    <w:p w:rsidR="000C315D" w:rsidRPr="00616C63" w:rsidRDefault="000C315D" w:rsidP="007E6275">
      <w:pPr>
        <w:jc w:val="center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CAPÍTULO IV</w:t>
      </w:r>
    </w:p>
    <w:p w:rsidR="000C315D" w:rsidRPr="00616C63" w:rsidRDefault="000C315D" w:rsidP="007E6275">
      <w:pPr>
        <w:jc w:val="center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DE LAS SESIONES DEL CONSEJO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16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El Consejo sesionará en forma Ordinaria y Extraordinaria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  <w:r w:rsidRPr="00616C63">
        <w:rPr>
          <w:rFonts w:ascii="Tahoma" w:eastAsia="Arial" w:hAnsi="Tahoma" w:cs="Tahoma"/>
          <w:sz w:val="22"/>
          <w:szCs w:val="22"/>
        </w:rPr>
        <w:t xml:space="preserve"> Sesionará, de manera Ordinaria, por lo menos una vez cada tres meses, y de manera Extraordinaria cuantas veces sean necesarias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17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Las convocatorias a las Sesiones Ordinarias y Extraordinarias, se realizarán por escrito, las Ordinarias con al menos tres días hábiles de anticipación las y Extraordinarias, como mínimo, con veinticuatro horas de a</w:t>
      </w:r>
      <w:r w:rsidR="005E3648" w:rsidRPr="00616C63">
        <w:rPr>
          <w:rFonts w:ascii="Tahoma" w:eastAsia="Arial" w:hAnsi="Tahoma" w:cs="Tahoma"/>
          <w:sz w:val="22"/>
          <w:szCs w:val="22"/>
        </w:rPr>
        <w:t>nticipación a la Sesión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Podrán</w:t>
      </w:r>
      <w:r w:rsidRPr="00616C63">
        <w:rPr>
          <w:rFonts w:ascii="Tahoma" w:eastAsia="Arial" w:hAnsi="Tahoma" w:cs="Tahoma"/>
          <w:sz w:val="22"/>
          <w:szCs w:val="22"/>
        </w:rPr>
        <w:t xml:space="preserve"> notificarse en forma electrónica cuando así lo hayan autorizado los integrantes del consejo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18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Las convocatorias para la celebraci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ón de las Sesiones Ordinarias o </w:t>
      </w:r>
      <w:r w:rsidRPr="00616C63">
        <w:rPr>
          <w:rFonts w:ascii="Tahoma" w:eastAsia="Arial" w:hAnsi="Tahoma" w:cs="Tahoma"/>
          <w:sz w:val="22"/>
          <w:szCs w:val="22"/>
        </w:rPr>
        <w:t>Extraordinaria, serán expedidas por la Presidencia del Consejo, por conducto de la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Secretaría Ejecutiva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19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 convocatoria Ordinaria o Extraordinaria, deberá contener al menos los siguientes elementos: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pStyle w:val="Prrafodelista"/>
        <w:numPr>
          <w:ilvl w:val="0"/>
          <w:numId w:val="11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El día y la hora en que haya de celebrarse la Sesión;</w:t>
      </w:r>
    </w:p>
    <w:p w:rsidR="005E3648" w:rsidRPr="00616C63" w:rsidRDefault="000C315D" w:rsidP="007E6275">
      <w:pPr>
        <w:pStyle w:val="Prrafodelista"/>
        <w:numPr>
          <w:ilvl w:val="0"/>
          <w:numId w:val="11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El lugar d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onde se realizará la Sesión; </w:t>
      </w:r>
    </w:p>
    <w:p w:rsidR="000C315D" w:rsidRPr="00616C63" w:rsidRDefault="000C315D" w:rsidP="007E6275">
      <w:pPr>
        <w:pStyle w:val="Prrafodelista"/>
        <w:numPr>
          <w:ilvl w:val="0"/>
          <w:numId w:val="11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El orden del día;</w:t>
      </w:r>
    </w:p>
    <w:p w:rsidR="005E3648" w:rsidRPr="00616C63" w:rsidRDefault="000C315D" w:rsidP="007E6275">
      <w:pPr>
        <w:pStyle w:val="Prrafodelista"/>
        <w:numPr>
          <w:ilvl w:val="0"/>
          <w:numId w:val="11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 xml:space="preserve">La naturaleza y el carácter de la Sesión a la que se convoca; </w:t>
      </w:r>
    </w:p>
    <w:p w:rsidR="000C315D" w:rsidRPr="00616C63" w:rsidRDefault="000C315D" w:rsidP="007E6275">
      <w:pPr>
        <w:pStyle w:val="Prrafodelista"/>
        <w:numPr>
          <w:ilvl w:val="0"/>
          <w:numId w:val="11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La mención en caso de que se integren anexos;</w:t>
      </w:r>
      <w:r w:rsidR="008A0170" w:rsidRPr="00616C63">
        <w:rPr>
          <w:rFonts w:ascii="Tahoma" w:eastAsia="Arial" w:hAnsi="Tahoma" w:cs="Tahoma"/>
          <w:sz w:val="22"/>
          <w:szCs w:val="22"/>
        </w:rPr>
        <w:t>(sic)</w:t>
      </w:r>
    </w:p>
    <w:p w:rsidR="000C315D" w:rsidRPr="00616C63" w:rsidRDefault="000C315D" w:rsidP="007E6275">
      <w:pPr>
        <w:pStyle w:val="Prrafodelista"/>
        <w:numPr>
          <w:ilvl w:val="0"/>
          <w:numId w:val="11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El nombre y firma de quien la expida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20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.-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Las Sesiones y acuerdos del Consejo, para su validez, sujetarse a lo siguiente:</w:t>
      </w: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pStyle w:val="Prrafodelista"/>
        <w:numPr>
          <w:ilvl w:val="0"/>
          <w:numId w:val="13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La notificación de la convocatoria debe llevarse a cabo, conforme a lo previsto en el presente Reglamento, debiendo incluir el orden del día correspondiente;</w:t>
      </w:r>
    </w:p>
    <w:p w:rsidR="000C315D" w:rsidRPr="00616C63" w:rsidRDefault="000C315D" w:rsidP="007E6275">
      <w:pPr>
        <w:pStyle w:val="Prrafodelista"/>
        <w:numPr>
          <w:ilvl w:val="0"/>
          <w:numId w:val="13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 xml:space="preserve">Las Sesiones del Consejo requieren, para su 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validez, en todos los casos, la </w:t>
      </w:r>
      <w:r w:rsidRPr="00616C63">
        <w:rPr>
          <w:rFonts w:ascii="Tahoma" w:eastAsia="Arial" w:hAnsi="Tahoma" w:cs="Tahoma"/>
          <w:sz w:val="22"/>
          <w:szCs w:val="22"/>
        </w:rPr>
        <w:t>presencia de la Presidenta o Presidente y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de la </w:t>
      </w:r>
      <w:r w:rsidR="00C500BA" w:rsidRPr="00616C63">
        <w:rPr>
          <w:rFonts w:ascii="Tahoma" w:eastAsia="Arial" w:hAnsi="Tahoma" w:cs="Tahoma"/>
          <w:sz w:val="22"/>
          <w:szCs w:val="22"/>
        </w:rPr>
        <w:t xml:space="preserve">Secretaria 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Ejecutiva del </w:t>
      </w:r>
      <w:r w:rsidRPr="00616C63">
        <w:rPr>
          <w:rFonts w:ascii="Tahoma" w:eastAsia="Arial" w:hAnsi="Tahoma" w:cs="Tahoma"/>
          <w:sz w:val="22"/>
          <w:szCs w:val="22"/>
        </w:rPr>
        <w:t>Consejo;</w:t>
      </w:r>
    </w:p>
    <w:p w:rsidR="000C315D" w:rsidRPr="00616C63" w:rsidRDefault="000C315D" w:rsidP="007E6275">
      <w:pPr>
        <w:pStyle w:val="Prrafodelista"/>
        <w:numPr>
          <w:ilvl w:val="0"/>
          <w:numId w:val="13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Las Sesiones, tanto Ordinarias como Extraordinarias, se tendrán legalmente instaladas cuando asistan a ellas, la mayoría de integrantes del Consejo;</w:t>
      </w:r>
    </w:p>
    <w:p w:rsidR="000C315D" w:rsidRPr="00616C63" w:rsidRDefault="000C315D" w:rsidP="007E6275">
      <w:pPr>
        <w:pStyle w:val="Prrafodelista"/>
        <w:numPr>
          <w:ilvl w:val="0"/>
          <w:numId w:val="13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Cuando se traten asuntos de urgencia, si a la h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ora señalada no se reuniere el </w:t>
      </w:r>
      <w:r w:rsidRPr="00616C63">
        <w:rPr>
          <w:rFonts w:ascii="Tahoma" w:eastAsia="Arial" w:hAnsi="Tahoma" w:cs="Tahoma"/>
          <w:sz w:val="22"/>
          <w:szCs w:val="22"/>
        </w:rPr>
        <w:t>quórum necesario, se concederá una espera de hasta treinta minutos y, transcurrido este tiempo, la Sesión se tendrá por legalmente instalada, cualquiera que sea el número de integrantes presentes;</w:t>
      </w:r>
    </w:p>
    <w:p w:rsidR="000C315D" w:rsidRPr="00616C63" w:rsidRDefault="000C315D" w:rsidP="007E6275">
      <w:pPr>
        <w:pStyle w:val="Prrafodelista"/>
        <w:numPr>
          <w:ilvl w:val="0"/>
          <w:numId w:val="13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Los acuerdos tomados por el Consejo, serán aprobados por unanimidad o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mayoría de votos;</w:t>
      </w:r>
    </w:p>
    <w:p w:rsidR="000C315D" w:rsidRPr="00616C63" w:rsidRDefault="000C315D" w:rsidP="007E6275">
      <w:pPr>
        <w:pStyle w:val="Prrafodelista"/>
        <w:numPr>
          <w:ilvl w:val="0"/>
          <w:numId w:val="13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Los acuerdos emanados del Consejo, deberán ser asentados en el Acta respectiva;</w:t>
      </w:r>
    </w:p>
    <w:p w:rsidR="000C315D" w:rsidRPr="00616C63" w:rsidRDefault="000C315D" w:rsidP="007E6275">
      <w:pPr>
        <w:pStyle w:val="Prrafodelista"/>
        <w:numPr>
          <w:ilvl w:val="0"/>
          <w:numId w:val="13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En toda Sesión del Consejo, la Secret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aría Ejecutiva vigilará que sus </w:t>
      </w:r>
      <w:r w:rsidRPr="00616C63">
        <w:rPr>
          <w:rFonts w:ascii="Tahoma" w:eastAsia="Arial" w:hAnsi="Tahoma" w:cs="Tahoma"/>
          <w:sz w:val="22"/>
          <w:szCs w:val="22"/>
        </w:rPr>
        <w:t>integrantes y personas invitadas, firmen la</w:t>
      </w:r>
      <w:r w:rsidR="00C75F3B" w:rsidRPr="00616C63">
        <w:rPr>
          <w:rFonts w:ascii="Tahoma" w:eastAsia="Arial" w:hAnsi="Tahoma" w:cs="Tahoma"/>
          <w:sz w:val="22"/>
          <w:szCs w:val="22"/>
        </w:rPr>
        <w:t xml:space="preserve"> li</w:t>
      </w:r>
      <w:r w:rsidRPr="00616C63">
        <w:rPr>
          <w:rFonts w:ascii="Tahoma" w:eastAsia="Arial" w:hAnsi="Tahoma" w:cs="Tahoma"/>
          <w:sz w:val="22"/>
          <w:szCs w:val="22"/>
        </w:rPr>
        <w:t>sta de asistencia que se prepare para tal efecto, así como que se levante el</w:t>
      </w:r>
      <w:r w:rsidR="00C75F3B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acta</w:t>
      </w:r>
      <w:r w:rsidR="00C75F3B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correspondiente, la cual deberá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contener, por lo menos, el lugar, fecha y hora de inicio, así como de terminación de la Sesión, el tipo de Sesión</w:t>
      </w:r>
      <w:r w:rsidR="00C75F3B" w:rsidRPr="00616C63">
        <w:rPr>
          <w:rFonts w:ascii="Tahoma" w:eastAsia="Arial" w:hAnsi="Tahoma" w:cs="Tahoma"/>
          <w:sz w:val="22"/>
          <w:szCs w:val="22"/>
        </w:rPr>
        <w:t>, lo</w:t>
      </w:r>
      <w:r w:rsidRPr="00616C63">
        <w:rPr>
          <w:rFonts w:ascii="Tahoma" w:eastAsia="Arial" w:hAnsi="Tahoma" w:cs="Tahoma"/>
          <w:sz w:val="22"/>
          <w:szCs w:val="22"/>
        </w:rPr>
        <w:t>s nombres de las personas asistentes, el desahogo del Orden de</w:t>
      </w:r>
      <w:r w:rsidR="00C75F3B" w:rsidRPr="00616C63">
        <w:rPr>
          <w:rFonts w:ascii="Tahoma" w:eastAsia="Arial" w:hAnsi="Tahoma" w:cs="Tahoma"/>
          <w:sz w:val="22"/>
          <w:szCs w:val="22"/>
        </w:rPr>
        <w:t>l</w:t>
      </w:r>
      <w:r w:rsidRPr="00616C63">
        <w:rPr>
          <w:rFonts w:ascii="Tahoma" w:eastAsia="Arial" w:hAnsi="Tahoma" w:cs="Tahoma"/>
          <w:sz w:val="22"/>
          <w:szCs w:val="22"/>
        </w:rPr>
        <w:t xml:space="preserve"> día, y los acuerdos adoptados;</w:t>
      </w:r>
      <w:r w:rsidR="008A0170" w:rsidRPr="00616C63">
        <w:rPr>
          <w:rFonts w:ascii="Tahoma" w:eastAsia="Arial" w:hAnsi="Tahoma" w:cs="Tahoma"/>
          <w:sz w:val="22"/>
          <w:szCs w:val="22"/>
        </w:rPr>
        <w:t>(sic)</w:t>
      </w:r>
    </w:p>
    <w:p w:rsidR="000C315D" w:rsidRPr="00616C63" w:rsidRDefault="000C315D" w:rsidP="007E6275">
      <w:pPr>
        <w:pStyle w:val="Prrafodelista"/>
        <w:numPr>
          <w:ilvl w:val="0"/>
          <w:numId w:val="13"/>
        </w:num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sz w:val="22"/>
          <w:szCs w:val="22"/>
        </w:rPr>
        <w:t>Las actas de</w:t>
      </w:r>
      <w:r w:rsidR="00C500BA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las</w:t>
      </w:r>
      <w:r w:rsidR="00C500BA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Sesiones de</w:t>
      </w:r>
      <w:r w:rsidR="00C75F3B" w:rsidRPr="00616C63">
        <w:rPr>
          <w:rFonts w:ascii="Tahoma" w:eastAsia="Arial" w:hAnsi="Tahoma" w:cs="Tahoma"/>
          <w:sz w:val="22"/>
          <w:szCs w:val="22"/>
        </w:rPr>
        <w:t>l Consejo,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 deberán</w:t>
      </w:r>
      <w:r w:rsidR="00C500BA" w:rsidRPr="00616C63">
        <w:rPr>
          <w:rFonts w:ascii="Tahoma" w:eastAsia="Arial" w:hAnsi="Tahoma" w:cs="Tahoma"/>
          <w:sz w:val="22"/>
          <w:szCs w:val="22"/>
        </w:rPr>
        <w:t xml:space="preserve"> </w:t>
      </w:r>
      <w:r w:rsidR="005E3648" w:rsidRPr="00616C63">
        <w:rPr>
          <w:rFonts w:ascii="Tahoma" w:eastAsia="Arial" w:hAnsi="Tahoma" w:cs="Tahoma"/>
          <w:sz w:val="22"/>
          <w:szCs w:val="22"/>
        </w:rPr>
        <w:t xml:space="preserve">ser firmadas, </w:t>
      </w:r>
      <w:r w:rsidRPr="00616C63">
        <w:rPr>
          <w:rFonts w:ascii="Tahoma" w:eastAsia="Arial" w:hAnsi="Tahoma" w:cs="Tahoma"/>
          <w:sz w:val="22"/>
          <w:szCs w:val="22"/>
        </w:rPr>
        <w:t>obligat</w:t>
      </w:r>
      <w:r w:rsidR="00C75F3B" w:rsidRPr="00616C63">
        <w:rPr>
          <w:rFonts w:ascii="Tahoma" w:eastAsia="Arial" w:hAnsi="Tahoma" w:cs="Tahoma"/>
          <w:sz w:val="22"/>
          <w:szCs w:val="22"/>
        </w:rPr>
        <w:t>oriamente, por la Presidencia, l</w:t>
      </w:r>
      <w:r w:rsidRPr="00616C63">
        <w:rPr>
          <w:rFonts w:ascii="Tahoma" w:eastAsia="Arial" w:hAnsi="Tahoma" w:cs="Tahoma"/>
          <w:sz w:val="22"/>
          <w:szCs w:val="22"/>
        </w:rPr>
        <w:t xml:space="preserve">a </w:t>
      </w:r>
      <w:r w:rsidR="00C75F3B" w:rsidRPr="00616C63">
        <w:rPr>
          <w:rFonts w:ascii="Tahoma" w:eastAsia="Arial" w:hAnsi="Tahoma" w:cs="Tahoma"/>
          <w:sz w:val="22"/>
          <w:szCs w:val="22"/>
        </w:rPr>
        <w:t>Secretarí</w:t>
      </w:r>
      <w:r w:rsidR="00C500BA" w:rsidRPr="00616C63">
        <w:rPr>
          <w:rFonts w:ascii="Tahoma" w:eastAsia="Arial" w:hAnsi="Tahoma" w:cs="Tahoma"/>
          <w:sz w:val="22"/>
          <w:szCs w:val="22"/>
        </w:rPr>
        <w:t xml:space="preserve">a </w:t>
      </w:r>
      <w:r w:rsidRPr="00616C63">
        <w:rPr>
          <w:rFonts w:ascii="Tahoma" w:eastAsia="Arial" w:hAnsi="Tahoma" w:cs="Tahoma"/>
          <w:sz w:val="22"/>
          <w:szCs w:val="22"/>
        </w:rPr>
        <w:t>Ejecutiva y la Secretaría Técnica o sus suplentes, pudiendo ser firmadas por las y los demás integrantes que quisieran hacerlo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C75F3B" w:rsidRPr="00616C63" w:rsidRDefault="00C75F3B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center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TRANSITORIOS</w:t>
      </w: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0C315D" w:rsidRPr="00616C63" w:rsidRDefault="000C315D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>ARTÍCULO PRIMERO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</w:t>
      </w:r>
      <w:r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Se abroga el Reglamento Interno del Consejo Municipal para la Prevención, Atención Sanción y Erradicación</w:t>
      </w:r>
      <w:r w:rsidR="0080585F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de</w:t>
      </w:r>
      <w:r w:rsidR="0080585F" w:rsidRPr="00616C63">
        <w:rPr>
          <w:rFonts w:ascii="Tahoma" w:eastAsia="Arial" w:hAnsi="Tahoma" w:cs="Tahoma"/>
          <w:sz w:val="22"/>
          <w:szCs w:val="22"/>
        </w:rPr>
        <w:t xml:space="preserve"> </w:t>
      </w:r>
      <w:r w:rsidRPr="00616C63">
        <w:rPr>
          <w:rFonts w:ascii="Tahoma" w:eastAsia="Arial" w:hAnsi="Tahoma" w:cs="Tahoma"/>
          <w:sz w:val="22"/>
          <w:szCs w:val="22"/>
        </w:rPr>
        <w:t>la Violencia de Género contra las Mujeres del Municipio d</w:t>
      </w:r>
      <w:r w:rsidR="0080585F" w:rsidRPr="00616C63">
        <w:rPr>
          <w:rFonts w:ascii="Tahoma" w:eastAsia="Arial" w:hAnsi="Tahoma" w:cs="Tahoma"/>
          <w:sz w:val="22"/>
          <w:szCs w:val="22"/>
        </w:rPr>
        <w:t>e</w:t>
      </w:r>
      <w:r w:rsidRPr="00616C63">
        <w:rPr>
          <w:rFonts w:ascii="Tahoma" w:eastAsia="Arial" w:hAnsi="Tahoma" w:cs="Tahoma"/>
          <w:sz w:val="22"/>
          <w:szCs w:val="22"/>
        </w:rPr>
        <w:t xml:space="preserve"> Oaxaca de Juárez</w:t>
      </w:r>
      <w:r w:rsidR="00501864" w:rsidRPr="00616C63">
        <w:rPr>
          <w:rFonts w:ascii="Tahoma" w:eastAsia="Arial" w:hAnsi="Tahoma" w:cs="Tahoma"/>
          <w:sz w:val="22"/>
          <w:szCs w:val="22"/>
        </w:rPr>
        <w:t>, Oaxaca, apro</w:t>
      </w:r>
      <w:r w:rsidRPr="00616C63">
        <w:rPr>
          <w:rFonts w:ascii="Tahoma" w:eastAsia="Arial" w:hAnsi="Tahoma" w:cs="Tahoma"/>
          <w:sz w:val="22"/>
          <w:szCs w:val="22"/>
        </w:rPr>
        <w:t>bado en Sesión Ordinaria del Consejo Municipal para la Prevención, Atención, Sanción y Erradicación de la Violencia de Género contra las Mujeres, de fech</w:t>
      </w:r>
      <w:r w:rsidR="00501864" w:rsidRPr="00616C63">
        <w:rPr>
          <w:rFonts w:ascii="Tahoma" w:eastAsia="Arial" w:hAnsi="Tahoma" w:cs="Tahoma"/>
          <w:sz w:val="22"/>
          <w:szCs w:val="22"/>
        </w:rPr>
        <w:t>a 14</w:t>
      </w:r>
      <w:r w:rsidRPr="00616C63">
        <w:rPr>
          <w:rFonts w:ascii="Tahoma" w:eastAsia="Arial" w:hAnsi="Tahoma" w:cs="Tahoma"/>
          <w:sz w:val="22"/>
          <w:szCs w:val="22"/>
        </w:rPr>
        <w:t xml:space="preserve"> de septiembre del año dos mil dieciocho, así como todas las disposiciones legales, que se opongan a lo dispuesto por</w:t>
      </w:r>
      <w:r w:rsidR="00501864" w:rsidRPr="00616C63">
        <w:rPr>
          <w:rFonts w:ascii="Tahoma" w:eastAsia="Arial" w:hAnsi="Tahoma" w:cs="Tahoma"/>
          <w:sz w:val="22"/>
          <w:szCs w:val="22"/>
        </w:rPr>
        <w:t xml:space="preserve"> el presente Ordenamiento Legal.</w:t>
      </w:r>
    </w:p>
    <w:p w:rsidR="005E3648" w:rsidRPr="00616C63" w:rsidRDefault="005E3648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134F4B" w:rsidRDefault="005E3648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616C63">
        <w:rPr>
          <w:rFonts w:ascii="Tahoma" w:eastAsia="Arial" w:hAnsi="Tahoma" w:cs="Tahoma"/>
          <w:b/>
          <w:sz w:val="22"/>
          <w:szCs w:val="22"/>
        </w:rPr>
        <w:t xml:space="preserve">ARTÍCULO </w:t>
      </w:r>
      <w:r w:rsidR="000C315D" w:rsidRPr="00616C63">
        <w:rPr>
          <w:rFonts w:ascii="Tahoma" w:eastAsia="Arial" w:hAnsi="Tahoma" w:cs="Tahoma"/>
          <w:b/>
          <w:sz w:val="22"/>
          <w:szCs w:val="22"/>
        </w:rPr>
        <w:t>SEGUNDO</w:t>
      </w:r>
      <w:r w:rsidR="00C500BA" w:rsidRPr="00616C63">
        <w:rPr>
          <w:rFonts w:ascii="Tahoma" w:eastAsia="Arial" w:hAnsi="Tahoma" w:cs="Tahoma"/>
          <w:b/>
          <w:sz w:val="22"/>
          <w:szCs w:val="22"/>
        </w:rPr>
        <w:t>.</w:t>
      </w:r>
      <w:r w:rsidR="000C315D" w:rsidRPr="00616C63">
        <w:rPr>
          <w:rFonts w:ascii="Tahoma" w:eastAsia="Arial" w:hAnsi="Tahoma" w:cs="Tahoma"/>
          <w:b/>
          <w:sz w:val="22"/>
          <w:szCs w:val="22"/>
        </w:rPr>
        <w:t xml:space="preserve"> </w:t>
      </w:r>
      <w:r w:rsidR="000C315D" w:rsidRPr="00616C63">
        <w:rPr>
          <w:rFonts w:ascii="Tahoma" w:eastAsia="Arial" w:hAnsi="Tahoma" w:cs="Tahoma"/>
          <w:sz w:val="22"/>
          <w:szCs w:val="22"/>
        </w:rPr>
        <w:t>El presente acuerdo entrará en vigor al día siguiente de su</w:t>
      </w:r>
      <w:r w:rsidRPr="00616C63">
        <w:rPr>
          <w:rFonts w:ascii="Tahoma" w:eastAsia="Arial" w:hAnsi="Tahoma" w:cs="Tahoma"/>
          <w:sz w:val="22"/>
          <w:szCs w:val="22"/>
        </w:rPr>
        <w:t xml:space="preserve"> </w:t>
      </w:r>
      <w:r w:rsidR="000C315D" w:rsidRPr="00616C63">
        <w:rPr>
          <w:rFonts w:ascii="Tahoma" w:eastAsia="Arial" w:hAnsi="Tahoma" w:cs="Tahoma"/>
          <w:sz w:val="22"/>
          <w:szCs w:val="22"/>
        </w:rPr>
        <w:t>pación, en la Gaceta Municipal que por tu</w:t>
      </w:r>
      <w:r w:rsidR="004E24AE" w:rsidRPr="00616C63">
        <w:rPr>
          <w:rFonts w:ascii="Tahoma" w:eastAsia="Arial" w:hAnsi="Tahoma" w:cs="Tahoma"/>
          <w:sz w:val="22"/>
          <w:szCs w:val="22"/>
        </w:rPr>
        <w:t xml:space="preserve">rno corresponda de acuerdo a lo </w:t>
      </w:r>
      <w:r w:rsidR="000C315D" w:rsidRPr="00616C63">
        <w:rPr>
          <w:rFonts w:ascii="Tahoma" w:eastAsia="Arial" w:hAnsi="Tahoma" w:cs="Tahoma"/>
          <w:sz w:val="22"/>
          <w:szCs w:val="22"/>
        </w:rPr>
        <w:t>previsto en el artículo 139 de la Ley Orgánica Municipal del Estado de Oaxaca y artículo 242 del Bando de Policía y Gobierno del Municipio de Oaxaca de Juárez</w:t>
      </w:r>
      <w:r w:rsidR="00C500BA" w:rsidRPr="00616C63">
        <w:rPr>
          <w:rFonts w:ascii="Tahoma" w:eastAsia="Arial" w:hAnsi="Tahoma" w:cs="Tahoma"/>
          <w:sz w:val="22"/>
          <w:szCs w:val="22"/>
        </w:rPr>
        <w:t>.</w:t>
      </w:r>
    </w:p>
    <w:p w:rsidR="00A64B60" w:rsidRDefault="00A64B60" w:rsidP="007E6275">
      <w:pPr>
        <w:jc w:val="both"/>
        <w:rPr>
          <w:rFonts w:ascii="Tahoma" w:eastAsia="Arial" w:hAnsi="Tahoma" w:cs="Tahoma"/>
          <w:sz w:val="22"/>
          <w:szCs w:val="22"/>
        </w:rPr>
      </w:pPr>
    </w:p>
    <w:p w:rsidR="00A64B60" w:rsidRPr="00616C63" w:rsidRDefault="00A64B60" w:rsidP="007E6275">
      <w:pPr>
        <w:jc w:val="both"/>
        <w:rPr>
          <w:rFonts w:ascii="Tahoma" w:eastAsia="Arial" w:hAnsi="Tahoma" w:cs="Tahoma"/>
          <w:sz w:val="22"/>
          <w:szCs w:val="22"/>
        </w:rPr>
      </w:pPr>
      <w:r w:rsidRPr="00A64B60">
        <w:rPr>
          <w:b/>
        </w:rPr>
        <w:t>DADO EN EL SALÓN DE CABILDO “PORFIRIO DÍAZ MORI” DEL HONORABLE AYUNTAMIENTO DEL MUNICIPIO DE OAXACA DE JUÁREZ, EL DÍA VEINTIOCHO DE MARZO DEL AÑO DOS MIL VEINTIDÓS</w:t>
      </w:r>
      <w:r>
        <w:t>.</w:t>
      </w:r>
    </w:p>
    <w:sectPr w:rsidR="00A64B60" w:rsidRPr="00616C63" w:rsidSect="00C7385F">
      <w:headerReference w:type="default" r:id="rId7"/>
      <w:pgSz w:w="12240" w:h="15840" w:code="1"/>
      <w:pgMar w:top="2694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3D" w:rsidRDefault="0022253D" w:rsidP="00C7385F">
      <w:r>
        <w:separator/>
      </w:r>
    </w:p>
  </w:endnote>
  <w:endnote w:type="continuationSeparator" w:id="0">
    <w:p w:rsidR="0022253D" w:rsidRDefault="0022253D" w:rsidP="00C7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3D" w:rsidRDefault="0022253D" w:rsidP="00C7385F">
      <w:r>
        <w:separator/>
      </w:r>
    </w:p>
  </w:footnote>
  <w:footnote w:type="continuationSeparator" w:id="0">
    <w:p w:rsidR="0022253D" w:rsidRDefault="0022253D" w:rsidP="00C7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5F" w:rsidRDefault="00C7385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72078C8" wp14:editId="43C664F3">
          <wp:simplePos x="0" y="0"/>
          <wp:positionH relativeFrom="page">
            <wp:posOffset>10632</wp:posOffset>
          </wp:positionH>
          <wp:positionV relativeFrom="paragraph">
            <wp:posOffset>-457201</wp:posOffset>
          </wp:positionV>
          <wp:extent cx="7836195" cy="10155069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151" cy="1015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08D"/>
    <w:multiLevelType w:val="hybridMultilevel"/>
    <w:tmpl w:val="4322D5B4"/>
    <w:lvl w:ilvl="0" w:tplc="C418886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220E"/>
    <w:multiLevelType w:val="hybridMultilevel"/>
    <w:tmpl w:val="DFE4C210"/>
    <w:lvl w:ilvl="0" w:tplc="2B523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463A"/>
    <w:multiLevelType w:val="hybridMultilevel"/>
    <w:tmpl w:val="D0947992"/>
    <w:lvl w:ilvl="0" w:tplc="9B00C0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6AB1"/>
    <w:multiLevelType w:val="hybridMultilevel"/>
    <w:tmpl w:val="87E4C046"/>
    <w:lvl w:ilvl="0" w:tplc="C418886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5293"/>
    <w:multiLevelType w:val="hybridMultilevel"/>
    <w:tmpl w:val="2FB6DA60"/>
    <w:lvl w:ilvl="0" w:tplc="C418886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821"/>
    <w:multiLevelType w:val="hybridMultilevel"/>
    <w:tmpl w:val="F3B2B374"/>
    <w:lvl w:ilvl="0" w:tplc="C4188868">
      <w:start w:val="1"/>
      <w:numFmt w:val="upperRoman"/>
      <w:lvlText w:val="%1."/>
      <w:lvlJc w:val="right"/>
      <w:pPr>
        <w:ind w:left="1004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795626"/>
    <w:multiLevelType w:val="multilevel"/>
    <w:tmpl w:val="7AF0D2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991ACD"/>
    <w:multiLevelType w:val="hybridMultilevel"/>
    <w:tmpl w:val="E76A7C36"/>
    <w:lvl w:ilvl="0" w:tplc="C418886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1A4C"/>
    <w:multiLevelType w:val="hybridMultilevel"/>
    <w:tmpl w:val="E566F53C"/>
    <w:lvl w:ilvl="0" w:tplc="8B42E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30D46"/>
    <w:multiLevelType w:val="hybridMultilevel"/>
    <w:tmpl w:val="648CB4AA"/>
    <w:lvl w:ilvl="0" w:tplc="A6B633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0732B"/>
    <w:multiLevelType w:val="hybridMultilevel"/>
    <w:tmpl w:val="12940FDE"/>
    <w:lvl w:ilvl="0" w:tplc="C418886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5E42"/>
    <w:multiLevelType w:val="hybridMultilevel"/>
    <w:tmpl w:val="880834B6"/>
    <w:lvl w:ilvl="0" w:tplc="C418886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F7C34"/>
    <w:multiLevelType w:val="hybridMultilevel"/>
    <w:tmpl w:val="8A264012"/>
    <w:lvl w:ilvl="0" w:tplc="037E4E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5765C"/>
    <w:multiLevelType w:val="hybridMultilevel"/>
    <w:tmpl w:val="E752D480"/>
    <w:lvl w:ilvl="0" w:tplc="C418886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4B"/>
    <w:rsid w:val="000C315D"/>
    <w:rsid w:val="00134F4B"/>
    <w:rsid w:val="001C126C"/>
    <w:rsid w:val="0022253D"/>
    <w:rsid w:val="003155EC"/>
    <w:rsid w:val="004E24AE"/>
    <w:rsid w:val="0050125D"/>
    <w:rsid w:val="00501864"/>
    <w:rsid w:val="005E3648"/>
    <w:rsid w:val="00616C63"/>
    <w:rsid w:val="006F19BF"/>
    <w:rsid w:val="007E6275"/>
    <w:rsid w:val="0080585F"/>
    <w:rsid w:val="008A0170"/>
    <w:rsid w:val="00A64B60"/>
    <w:rsid w:val="00B93F0D"/>
    <w:rsid w:val="00C500BA"/>
    <w:rsid w:val="00C7385F"/>
    <w:rsid w:val="00C75F3B"/>
    <w:rsid w:val="00E17144"/>
    <w:rsid w:val="00E97A46"/>
    <w:rsid w:val="00F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49AF0D"/>
  <w15:docId w15:val="{7A693876-4FB2-40C8-BE55-0346C39F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E17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1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9BF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73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38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73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85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2576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Reglamento</dc:creator>
  <cp:lastModifiedBy>secre</cp:lastModifiedBy>
  <cp:revision>2</cp:revision>
  <cp:lastPrinted>2024-05-29T16:04:00Z</cp:lastPrinted>
  <dcterms:created xsi:type="dcterms:W3CDTF">2024-05-29T17:55:00Z</dcterms:created>
  <dcterms:modified xsi:type="dcterms:W3CDTF">2024-05-29T17:55:00Z</dcterms:modified>
</cp:coreProperties>
</file>